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mallCaps w:val="1"/>
          <w:color w:val="000000"/>
          <w:sz w:val="100"/>
          <w:szCs w:val="100"/>
        </w:rPr>
      </w:pPr>
      <w:r w:rsidDel="00000000" w:rsidR="00000000" w:rsidRPr="00000000">
        <w:rPr>
          <w:smallCaps w:val="1"/>
          <w:sz w:val="80"/>
          <w:szCs w:val="80"/>
        </w:rPr>
        <w:drawing>
          <wp:inline distB="114300" distT="114300" distL="114300" distR="114300">
            <wp:extent cx="6034088" cy="4025714"/>
            <wp:effectExtent b="0" l="0" r="0" t="0"/>
            <wp:docPr id="3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4088" cy="4025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mallCaps w:val="1"/>
          <w:sz w:val="80"/>
          <w:szCs w:val="8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-504821</wp:posOffset>
            </wp:positionH>
            <wp:positionV relativeFrom="margin">
              <wp:posOffset>-2014535</wp:posOffset>
            </wp:positionV>
            <wp:extent cx="9136527" cy="10548938"/>
            <wp:effectExtent b="0" l="0" r="0" t="0"/>
            <wp:wrapNone/>
            <wp:docPr id="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16432" l="1207" r="-120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6527" cy="10548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mallCaps w:val="1"/>
          <w:color w:val="000000"/>
          <w:sz w:val="100"/>
          <w:szCs w:val="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mallCaps w:val="1"/>
          <w:color w:val="ff1490"/>
          <w:sz w:val="40"/>
          <w:szCs w:val="40"/>
          <w:u w:val="single"/>
        </w:rPr>
      </w:pP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تقييم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أثر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: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مثقفات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smallCaps w:val="1"/>
          <w:sz w:val="52"/>
          <w:szCs w:val="5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mallCaps w:val="1"/>
          <w:color w:val="ff149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mallCaps w:val="1"/>
          <w:color w:val="ff149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Dubai" w:cs="Dubai" w:eastAsia="Dubai" w:hAnsi="Dubai"/>
        </w:rPr>
      </w:pPr>
      <w:r w:rsidDel="00000000" w:rsidR="00000000" w:rsidRPr="00000000">
        <w:rPr>
          <w:rFonts w:ascii="Dubai" w:cs="Dubai" w:eastAsia="Dubai" w:hAnsi="Dubai"/>
          <w:b w:val="1"/>
          <w:smallCaps w:val="1"/>
          <w:color w:val="ff1490"/>
          <w:sz w:val="40"/>
          <w:szCs w:val="40"/>
          <w:rtl w:val="1"/>
        </w:rPr>
        <w:t xml:space="preserve">الملخص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ff149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ff1490"/>
          <w:sz w:val="40"/>
          <w:szCs w:val="40"/>
          <w:rtl w:val="1"/>
        </w:rPr>
        <w:t xml:space="preserve">التنفيذي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rPr>
          <w:rFonts w:ascii="Dubai" w:cs="Dubai" w:eastAsia="Dubai" w:hAnsi="Dubai"/>
          <w:b w:val="1"/>
          <w:smallCaps w:val="1"/>
          <w:color w:val="ff1490"/>
          <w:sz w:val="34"/>
          <w:szCs w:val="34"/>
        </w:rPr>
      </w:pPr>
      <w:r w:rsidDel="00000000" w:rsidR="00000000" w:rsidRPr="00000000">
        <w:rPr>
          <w:rFonts w:ascii="Dubai" w:cs="Dubai" w:eastAsia="Dubai" w:hAnsi="Dubai"/>
          <w:b w:val="1"/>
          <w:smallCaps w:val="1"/>
          <w:color w:val="ff1490"/>
          <w:sz w:val="34"/>
          <w:szCs w:val="34"/>
          <w:rtl w:val="1"/>
        </w:rPr>
        <w:t xml:space="preserve">حزيران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ff1490"/>
          <w:sz w:val="34"/>
          <w:szCs w:val="34"/>
          <w:rtl w:val="1"/>
        </w:rPr>
        <w:t xml:space="preserve"> 2025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ind w:left="-450" w:firstLine="0"/>
        <w:jc w:val="center"/>
        <w:rPr>
          <w:rFonts w:ascii="Dubai" w:cs="Dubai" w:eastAsia="Dubai" w:hAnsi="Dubai"/>
          <w:b w:val="1"/>
          <w:smallCaps w:val="1"/>
          <w:color w:val="ed288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450" w:firstLine="0"/>
        <w:rPr>
          <w:rFonts w:ascii="Poppins Black" w:cs="Poppins Black" w:eastAsia="Poppins Black" w:hAnsi="Poppins Black"/>
          <w:smallCaps w:val="1"/>
          <w:color w:val="ed288e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4991100</wp:posOffset>
            </wp:positionH>
            <wp:positionV relativeFrom="paragraph">
              <wp:posOffset>571500</wp:posOffset>
            </wp:positionV>
            <wp:extent cx="1033463" cy="341492"/>
            <wp:effectExtent b="0" l="0" r="0" t="0"/>
            <wp:wrapNone/>
            <wp:docPr id="3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341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-485774</wp:posOffset>
            </wp:positionH>
            <wp:positionV relativeFrom="paragraph">
              <wp:posOffset>561975</wp:posOffset>
            </wp:positionV>
            <wp:extent cx="1358473" cy="283015"/>
            <wp:effectExtent b="0" l="0" r="0" t="0"/>
            <wp:wrapSquare wrapText="bothSides" distB="114300" distT="114300" distL="114300" distR="114300"/>
            <wp:docPr id="3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473" cy="283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firstLine="720"/>
        <w:jc w:val="both"/>
        <w:rPr>
          <w:rFonts w:ascii="Dubai" w:cs="Dubai" w:eastAsia="Dubai" w:hAnsi="Dubai"/>
          <w:sz w:val="28"/>
          <w:szCs w:val="28"/>
        </w:rPr>
      </w:pPr>
      <w:bookmarkStart w:colFirst="0" w:colLast="0" w:name="_heading=h.1d60sjusbfv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Rule="auto"/>
        <w:ind w:left="-450" w:firstLine="0"/>
        <w:jc w:val="center"/>
        <w:rPr>
          <w:rFonts w:ascii="Dubai" w:cs="Dubai" w:eastAsia="Dubai" w:hAnsi="Dubai"/>
          <w:sz w:val="30"/>
          <w:szCs w:val="30"/>
        </w:rPr>
      </w:pP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28"/>
          <w:szCs w:val="28"/>
          <w:rtl w:val="1"/>
        </w:rPr>
        <w:t xml:space="preserve">التلخيص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firstLine="0"/>
        <w:jc w:val="both"/>
        <w:rPr>
          <w:rFonts w:ascii="Dubai" w:cs="Dubai" w:eastAsia="Dubai" w:hAnsi="Dubai"/>
          <w:sz w:val="22"/>
          <w:szCs w:val="22"/>
        </w:rPr>
      </w:pPr>
      <w:bookmarkStart w:colFirst="0" w:colLast="0" w:name="_heading=h.lwc17t3arm5q" w:id="1"/>
      <w:bookmarkEnd w:id="1"/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</w:t>
      </w:r>
      <w:sdt>
        <w:sdtPr>
          <w:id w:val="459963915"/>
          <w:tag w:val="goog_rdk_0"/>
        </w:sdtPr>
        <w:sdtContent>
          <w:commentRangeStart w:id="0"/>
        </w:sdtContent>
      </w:sdt>
      <w:sdt>
        <w:sdtPr>
          <w:id w:val="-1230622969"/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هدف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التابع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لمؤسسة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الملكة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رانيا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قدرة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دعم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الطفولة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المبكرة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دورة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تدريبية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َّ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واتساب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وتستمر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ثمانية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أسابيع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عامي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2023–2024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نطاق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عمله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اعتماد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تنفيذين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الذاتي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المدعو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تيس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0" w:firstLine="0"/>
        <w:jc w:val="both"/>
        <w:rPr>
          <w:rFonts w:ascii="Dubai" w:cs="Dubai" w:eastAsia="Dubai" w:hAnsi="Dubai"/>
          <w:sz w:val="22"/>
          <w:szCs w:val="22"/>
        </w:rPr>
      </w:pPr>
      <w:bookmarkStart w:colFirst="0" w:colLast="0" w:name="_heading=h.35nkun2" w:id="2"/>
      <w:bookmarkEnd w:id="2"/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ركز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واستخدم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تصميم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متعدد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المنهجيات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يجمع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تجربة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عشوائية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محكمة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وبحث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نوعي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ظهر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النتائج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شاركوا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أظهروا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تحسن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ملحوظ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الناحية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الإحصائية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التفاعل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أطفالهم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كالقراءة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والغناء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واللعب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أشادت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بالتدريب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وأنظمة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أفدن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بزيادة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ثقتهن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وكفاءتهن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إرشاد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الوالدين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الرغم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النتائج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الواعدة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تحديد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بعض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التحديات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فجوات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المعرفة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الرقمية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ومحدودية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إمكانية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توسع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ؤك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التوصيات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ضرورة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الرقمي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والمتابعة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المستمرة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للوالدين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وتحسين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تنوع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أساليب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الاستقطاب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أظهر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أثر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حقيقي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أهمية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وقابل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للقياس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توسيع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نطاقه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واستدامة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نتائجه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يتطلبان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استثمار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مستمر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البنية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التحتية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وبناء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القدرات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وتطوير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آليات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للمشاركة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طويلة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الأمد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30"/>
          <w:szCs w:val="30"/>
        </w:rPr>
      </w:pPr>
      <w:bookmarkStart w:colFirst="0" w:colLast="0" w:name="_heading=h.j9mbibd0tnk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>
          <w:rFonts w:ascii="Dubai" w:cs="Dubai" w:eastAsia="Dubai" w:hAnsi="Dubai"/>
          <w:b w:val="1"/>
          <w:smallCaps w:val="1"/>
          <w:color w:val="ed288e"/>
          <w:sz w:val="32"/>
          <w:szCs w:val="32"/>
        </w:rPr>
      </w:pP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الم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قي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مين</w:t>
      </w:r>
    </w:p>
    <w:p w:rsidR="00000000" w:rsidDel="00000000" w:rsidP="00000000" w:rsidRDefault="00000000" w:rsidRPr="00000000" w14:paraId="00000012">
      <w:pPr>
        <w:bidi w:val="1"/>
        <w:spacing w:after="0" w:lineRule="auto"/>
        <w:rPr>
          <w:rFonts w:ascii="Poppins Black" w:cs="Poppins Black" w:eastAsia="Poppins Black" w:hAnsi="Poppins Black"/>
          <w:smallCaps w:val="1"/>
          <w:color w:val="ed28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Dubai" w:cs="Dubai" w:eastAsia="Dubai" w:hAnsi="Dubai"/>
          <w:sz w:val="22"/>
          <w:szCs w:val="22"/>
        </w:rPr>
      </w:pPr>
      <w:bookmarkStart w:colFirst="0" w:colLast="0" w:name="_heading=h.1ksv4uv" w:id="4"/>
      <w:bookmarkEnd w:id="4"/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جري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شركة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مستشاري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الإدارة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0"/>
        </w:rPr>
        <w:t xml:space="preserve">MMIS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بقيادة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ميساء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عبوشي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وطارق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البلوي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وفريق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المتابعة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الملكة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رانيا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روان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وسارة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بدران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Rule="auto"/>
        <w:rPr>
          <w:rFonts w:ascii="Dubai" w:cs="Dubai" w:eastAsia="Dubai" w:hAnsi="Dubai"/>
          <w:b w:val="1"/>
          <w:smallCaps w:val="1"/>
          <w:color w:val="ed288e"/>
          <w:sz w:val="32"/>
          <w:szCs w:val="32"/>
        </w:rPr>
      </w:pP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الشكر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mallCaps w:val="1"/>
          <w:color w:val="ed288e"/>
          <w:sz w:val="32"/>
          <w:szCs w:val="32"/>
          <w:rtl w:val="1"/>
        </w:rPr>
        <w:t xml:space="preserve">التقدير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240" w:line="240" w:lineRule="auto"/>
        <w:jc w:val="both"/>
        <w:rPr>
          <w:rFonts w:ascii="Dubai" w:cs="Dubai" w:eastAsia="Dubai" w:hAnsi="Dubai"/>
          <w:sz w:val="22"/>
          <w:szCs w:val="22"/>
        </w:rPr>
      </w:pPr>
      <w:bookmarkStart w:colFirst="0" w:colLast="0" w:name="_heading=h.dypn6xhx070o" w:id="5"/>
      <w:bookmarkEnd w:id="5"/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نود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نعرب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شكرنا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وتقديرنا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لجميع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الأهالي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مقدمي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والمثقفات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وموظفي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الذين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شاركوا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الدراسة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وقتهم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وإجاباتهم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الصادقة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تجاربهم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ونقدر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الجهود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المبذولة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المسؤولات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التدخل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ونعبر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أيض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امتناننا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للفريق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الأساسي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الملكة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رانيا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نور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عوامله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وديما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إيميسايل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لدعمهم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عملية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وتقديم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الإرشاد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وتزويدنا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بمعلومات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الاستقطاب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اللازمة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240" w:line="240" w:lineRule="auto"/>
        <w:jc w:val="both"/>
        <w:rPr>
          <w:rFonts w:ascii="Dubai" w:cs="Dubai" w:eastAsia="Dubai" w:hAnsi="Dubai"/>
          <w:color w:val="000000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تمويل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المشروع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البحثي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فان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لير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ومنظمة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1"/>
        </w:rPr>
        <w:t xml:space="preserve">ذيرويرل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</w:t>
      </w:r>
      <w:r w:rsidDel="00000000" w:rsidR="00000000" w:rsidRPr="00000000">
        <w:rPr>
          <w:rFonts w:ascii="Dubai" w:cs="Dubai" w:eastAsia="Dubai" w:hAnsi="Duba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1"/>
        <w:keepLines w:val="1"/>
        <w:bidi w:val="1"/>
        <w:spacing w:after="120" w:before="40" w:lineRule="auto"/>
        <w:rPr>
          <w:rFonts w:ascii="Dubai" w:cs="Dubai" w:eastAsia="Dubai" w:hAnsi="Dubai"/>
          <w:color w:val="2e75b5"/>
          <w:sz w:val="30"/>
          <w:szCs w:val="30"/>
        </w:rPr>
      </w:pPr>
      <w:r w:rsidDel="00000000" w:rsidR="00000000" w:rsidRPr="00000000">
        <w:rPr>
          <w:rFonts w:ascii="Dubai" w:cs="Dubai" w:eastAsia="Dubai" w:hAnsi="Dubai"/>
          <w:color w:val="2e75b5"/>
          <w:sz w:val="30"/>
          <w:szCs w:val="30"/>
          <w:rtl w:val="1"/>
        </w:rPr>
        <w:t xml:space="preserve">الملخص</w:t>
      </w:r>
      <w:r w:rsidDel="00000000" w:rsidR="00000000" w:rsidRPr="00000000">
        <w:rPr>
          <w:rFonts w:ascii="Dubai" w:cs="Dubai" w:eastAsia="Dubai" w:hAnsi="Dubai"/>
          <w:color w:val="2e75b5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2e75b5"/>
          <w:sz w:val="30"/>
          <w:szCs w:val="30"/>
          <w:rtl w:val="1"/>
        </w:rPr>
        <w:t xml:space="preserve">التنفيذي</w:t>
      </w:r>
    </w:p>
    <w:p w:rsidR="00000000" w:rsidDel="00000000" w:rsidP="00000000" w:rsidRDefault="00000000" w:rsidRPr="00000000" w14:paraId="00000019">
      <w:pPr>
        <w:keepNext w:val="1"/>
        <w:keepLines w:val="1"/>
        <w:bidi w:val="1"/>
        <w:spacing w:after="120" w:before="40" w:lineRule="auto"/>
        <w:ind w:left="1080" w:firstLine="0"/>
        <w:rPr>
          <w:color w:val="05806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numPr>
          <w:ilvl w:val="0"/>
          <w:numId w:val="3"/>
        </w:numPr>
        <w:bidi w:val="1"/>
        <w:spacing w:after="120" w:before="40" w:lineRule="auto"/>
        <w:ind w:left="1080" w:hanging="720"/>
        <w:rPr>
          <w:rFonts w:ascii="Dubai" w:cs="Dubai" w:eastAsia="Dubai" w:hAnsi="Dubai"/>
          <w:color w:val="05806e"/>
        </w:rPr>
      </w:pPr>
      <w:r w:rsidDel="00000000" w:rsidR="00000000" w:rsidRPr="00000000">
        <w:rPr>
          <w:rFonts w:ascii="Dubai" w:cs="Dubai" w:eastAsia="Dubai" w:hAnsi="Dubai"/>
          <w:color w:val="05806e"/>
          <w:rtl w:val="1"/>
        </w:rPr>
        <w:t xml:space="preserve">المشكلات</w:t>
      </w:r>
    </w:p>
    <w:p w:rsidR="00000000" w:rsidDel="00000000" w:rsidP="00000000" w:rsidRDefault="00000000" w:rsidRPr="00000000" w14:paraId="0000001B">
      <w:pPr>
        <w:keepNext w:val="1"/>
        <w:keepLines w:val="1"/>
        <w:bidi w:val="1"/>
        <w:spacing w:after="120" w:before="40" w:lineRule="auto"/>
        <w:jc w:val="both"/>
        <w:rPr>
          <w:rFonts w:ascii="Dubai" w:cs="Dubai" w:eastAsia="Dubai" w:hAnsi="Dubai"/>
          <w:sz w:val="22"/>
          <w:szCs w:val="22"/>
          <w:u w:val="single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وفق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لمؤشرات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الفقر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التعليمي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"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الصادرة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البنك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الدولي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واليونسكو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فإن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نصف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عدد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الأطفال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الأردن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العاشرة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عمرهم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قادرين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قراءة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نص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بسيط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وفهمه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بالرغم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الجهود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المبذولة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الطفولة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المبكرة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يزال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يفتقرون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كثير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الأحيان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المتاح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الملائم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للسياق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والمستمر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كيفية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المهارات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المنزل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المرحلة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الحرجة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عمر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0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5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1"/>
        <w:numPr>
          <w:ilvl w:val="0"/>
          <w:numId w:val="3"/>
        </w:numPr>
        <w:bidi w:val="1"/>
        <w:spacing w:after="120" w:before="40" w:lineRule="auto"/>
        <w:ind w:left="1080" w:hanging="720"/>
        <w:jc w:val="both"/>
        <w:rPr>
          <w:color w:val="05806e"/>
        </w:rPr>
      </w:pPr>
      <w:r w:rsidDel="00000000" w:rsidR="00000000" w:rsidRPr="00000000">
        <w:rPr>
          <w:color w:val="05806e"/>
          <w:rtl w:val="1"/>
        </w:rPr>
        <w:t xml:space="preserve">التدخ</w:t>
      </w:r>
      <w:r w:rsidDel="00000000" w:rsidR="00000000" w:rsidRPr="00000000">
        <w:rPr>
          <w:color w:val="05806e"/>
          <w:rtl w:val="1"/>
        </w:rPr>
        <w:t xml:space="preserve">ّ</w:t>
      </w:r>
      <w:r w:rsidDel="00000000" w:rsidR="00000000" w:rsidRPr="00000000">
        <w:rPr>
          <w:color w:val="05806e"/>
          <w:rtl w:val="1"/>
        </w:rPr>
        <w:t xml:space="preserve">ل</w:t>
      </w:r>
    </w:p>
    <w:p w:rsidR="00000000" w:rsidDel="00000000" w:rsidP="00000000" w:rsidRDefault="00000000" w:rsidRPr="00000000" w14:paraId="0000001D">
      <w:pPr>
        <w:keepNext w:val="1"/>
        <w:keepLines w:val="1"/>
        <w:bidi w:val="1"/>
        <w:spacing w:after="120" w:before="40" w:line="240" w:lineRule="auto"/>
        <w:jc w:val="both"/>
        <w:rPr>
          <w:rFonts w:ascii="Dubai" w:cs="Dubai" w:eastAsia="Dubai" w:hAnsi="Dubai"/>
          <w:color w:val="05806e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أطلقت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الملكة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رانيا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2017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لسد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الفجوة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استناد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منهج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المرحلة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الأساسية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المبكرة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ومدعوم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بأنشطة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"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ْ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"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يهدف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بناء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ثقة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الوالدين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وكفاءتهم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الذاتية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دورة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رقمية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متاحة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مدتها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8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أسابيع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قدم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يعمل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الواتساب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bidi w:val="1"/>
        <w:spacing w:after="120" w:before="40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عامي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2023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2024،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نطاقه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تقليل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الاعتماد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موظفي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مؤسسة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الملكة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رانيا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إمكانية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لمقدمي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تنفيذيين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؛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الذاتي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يتيح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إكمال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الدورة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مستقل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الآلي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يعمل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واتساب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أما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الثاني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فهو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قبل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تنفيذه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بالتعاون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التنمية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الاجتماعية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استهداف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الإناث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فقط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قامت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مدر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َّ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بتيسير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مجموعات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تجربة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الآلي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المجموعات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مساحة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إضافية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للإرشاد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شج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التفاعل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والإجابة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أسئلة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وقيادة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مناقشات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أسبوعية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تتماشى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مواضيع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أساسية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الطفولة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ساهم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مسار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أعمق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68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a8bd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bidi w:val="1"/>
              <w:spacing w:after="0" w:before="40" w:lineRule="auto"/>
              <w:ind w:left="720" w:firstLine="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عام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2024،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توس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ع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بشكل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أكبر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خلال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إجراءات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عدة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منها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keepNext w:val="1"/>
              <w:keepLines w:val="1"/>
              <w:numPr>
                <w:ilvl w:val="0"/>
                <w:numId w:val="1"/>
              </w:numPr>
              <w:bidi w:val="1"/>
              <w:spacing w:after="0" w:lineRule="auto"/>
              <w:ind w:left="720" w:hanging="36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تدريب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المثقفات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الرئيسات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وزارة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الأوقاف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والمقدسات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والشؤون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بواسطة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مؤسسة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الملكة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رانيا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بهدف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نقل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التدريب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وتقديم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الإرشاد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التربوي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لمثقفات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أخريات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الوزارة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1"/>
              <w:keepLines w:val="1"/>
              <w:numPr>
                <w:ilvl w:val="0"/>
                <w:numId w:val="1"/>
              </w:numPr>
              <w:bidi w:val="1"/>
              <w:spacing w:after="0" w:lineRule="auto"/>
              <w:ind w:left="720" w:hanging="36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تلق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ى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موظفو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قسم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تكنولوجيا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الوزارة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تدريب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قبل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مؤسسة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الملكة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رانيا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ومزو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دها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التقني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"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إي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-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فلو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"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وذلك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لتمكينهم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إدارة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المنصة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وتعزيز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ملكية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الوزارة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1"/>
              <w:keepLines w:val="1"/>
              <w:numPr>
                <w:ilvl w:val="0"/>
                <w:numId w:val="1"/>
              </w:numPr>
              <w:bidi w:val="1"/>
              <w:spacing w:after="120" w:lineRule="auto"/>
              <w:ind w:left="720" w:hanging="36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توس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عت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الشراكات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لتشمل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مقد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الرعاية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دور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الأيتام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ودور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الحضانة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40" w:line="240" w:lineRule="auto"/>
              <w:ind w:left="720" w:hanging="360"/>
              <w:jc w:val="both"/>
              <w:rPr>
                <w:rFonts w:ascii="Dubai" w:cs="Dubai" w:eastAsia="Dubai" w:hAnsi="Duba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اعتماد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نهج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تدريبي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مختلط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للمثقفات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يجمع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بين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جلسات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افتراضية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عبر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منصة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إدراك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تناولت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الجوانب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وتدريب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حضوري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للمدر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بين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بهدف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تعزيز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مهارات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التيسير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لديهم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20" w:lineRule="auto"/>
              <w:ind w:left="720" w:hanging="360"/>
              <w:jc w:val="both"/>
              <w:rPr>
                <w:rFonts w:ascii="Dubai" w:cs="Dubai" w:eastAsia="Dubai" w:hAnsi="Duba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ساهمت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الجهود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تهيئة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برنامج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سنوات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طفلي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الأولى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للتنفيذ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نطاق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أوسع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وضمان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استدامته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وتعزيز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المحلية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طويلة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الأمد</w:t>
            </w:r>
            <w:r w:rsidDel="00000000" w:rsidR="00000000" w:rsidRPr="00000000">
              <w:rPr>
                <w:rFonts w:ascii="Dubai" w:cs="Dubai" w:eastAsia="Dubai" w:hAnsi="Dubai"/>
                <w:color w:val="000000"/>
                <w:sz w:val="22"/>
                <w:szCs w:val="2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0" w:lineRule="auto"/>
        <w:ind w:left="1080" w:firstLine="0"/>
        <w:jc w:val="both"/>
        <w:rPr>
          <w:color w:val="05806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40" w:lineRule="auto"/>
        <w:ind w:left="1080" w:hanging="720"/>
        <w:jc w:val="both"/>
        <w:rPr>
          <w:rFonts w:ascii="Dubai" w:cs="Dubai" w:eastAsia="Dubai" w:hAnsi="Dubai"/>
          <w:color w:val="05806e"/>
          <w:sz w:val="26"/>
          <w:szCs w:val="26"/>
        </w:rPr>
      </w:pPr>
      <w:r w:rsidDel="00000000" w:rsidR="00000000" w:rsidRPr="00000000">
        <w:rPr>
          <w:rFonts w:ascii="Dubai" w:cs="Dubai" w:eastAsia="Dubai" w:hAnsi="Dubai"/>
          <w:color w:val="05806e"/>
          <w:sz w:val="26"/>
          <w:szCs w:val="26"/>
          <w:rtl w:val="1"/>
        </w:rPr>
        <w:t xml:space="preserve">التقييم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="240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اعتمد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نهج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متعدد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الأساليب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التجربة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العشوائية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المحكمة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لعملية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التنفيذ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المستنير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بالبحث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النوعي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غطى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فقط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أيار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2024،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التقرير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النهائي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نيسان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2025.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أثر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كيفية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تفاعل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أطفالهم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أنشطة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والتنمية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اليومية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المتعلقة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بالتعل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والنمو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قامت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التجربة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العشوائية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المحكومة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بتوزيع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2,945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مسج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عشوائي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مجموعتين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مجموعة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تدخل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ومجموعة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ضابطة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بحيث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شاركت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المجموعة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الضابطة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دورة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لاحقة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نفسه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قياس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التغيرات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وتيرة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التفاعل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تسعة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أنشطة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للأهل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القراءة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والغناء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واللعب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ومناقشة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المشاعر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استبيان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موجه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تسليم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الاستبيان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نقطتين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زمنيتين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عند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التسجيل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خط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البداية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وبعد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شهر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واحد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نهاية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دورة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استمرت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8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أسابيع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خط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النهاية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40" w:before="240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تمكنت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عملية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التنفيذ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باستكشاف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جودة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التنفيذ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وتجارب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المستخدمين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نوعية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بما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جلسات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نقاش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ومقابلات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المعنيين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منفذي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وأولياء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الأمور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كما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إجراء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10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جلسات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نقاش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58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أولياء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الأمور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مختلف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مناطق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الأردن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الشمال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والوسط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والجنوب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وشملت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دورتي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لعامي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2023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2024،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تصنيف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المشاركين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المناقشات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بحسب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مستوى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التفاعل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حيث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ص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ِ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َ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المشاركين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ذوي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الالتزام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العالي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والمنخفض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بالإضافة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أجريت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10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مقابلات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معلوماتية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أساسية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فيهن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الرئيسات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قدت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مقابلتان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المنسقين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الرئيسين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للحصول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رؤى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ممارسات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التسليم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والتحديات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1"/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40" w:lineRule="auto"/>
        <w:ind w:left="1080" w:hanging="720"/>
        <w:rPr>
          <w:rFonts w:ascii="Dubai" w:cs="Dubai" w:eastAsia="Dubai" w:hAnsi="Dubai"/>
          <w:color w:val="05806e"/>
        </w:rPr>
      </w:pPr>
      <w:r w:rsidDel="00000000" w:rsidR="00000000" w:rsidRPr="00000000">
        <w:rPr>
          <w:rFonts w:ascii="Dubai" w:cs="Dubai" w:eastAsia="Dubai" w:hAnsi="Dubai"/>
          <w:color w:val="05806e"/>
          <w:rtl w:val="1"/>
        </w:rPr>
        <w:t xml:space="preserve">النتائج</w:t>
      </w:r>
      <w:r w:rsidDel="00000000" w:rsidR="00000000" w:rsidRPr="00000000">
        <w:rPr>
          <w:rFonts w:ascii="Dubai" w:cs="Dubai" w:eastAsia="Dubai" w:hAnsi="Dubai"/>
          <w:color w:val="05806e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color w:val="05806e"/>
          <w:rtl w:val="1"/>
        </w:rPr>
        <w:t xml:space="preserve">الواعدة</w:t>
      </w:r>
    </w:p>
    <w:tbl>
      <w:tblPr>
        <w:tblStyle w:val="Table2"/>
        <w:tblW w:w="8955.0" w:type="dxa"/>
        <w:jc w:val="left"/>
        <w:tblInd w:w="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a8bd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40" w:line="276" w:lineRule="auto"/>
              <w:ind w:left="720" w:firstLine="0"/>
              <w:jc w:val="center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color w:val="05806e"/>
                <w:sz w:val="22"/>
                <w:szCs w:val="22"/>
                <w:rtl w:val="1"/>
              </w:rPr>
              <w:t xml:space="preserve">النتائج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05806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05806e"/>
                <w:sz w:val="22"/>
                <w:szCs w:val="22"/>
                <w:rtl w:val="1"/>
              </w:rPr>
              <w:t xml:space="preserve">الرئيسية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numPr>
                <w:ilvl w:val="0"/>
                <w:numId w:val="1"/>
              </w:numPr>
              <w:bidi w:val="1"/>
              <w:spacing w:after="0" w:line="276" w:lineRule="auto"/>
              <w:ind w:left="720" w:hanging="36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التأثير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أظهر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مقدمو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الرعاية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الذين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ع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ُ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رض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عليهم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زيادة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ذات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دلالة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إحصائية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تفاعلهم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أطفالهم</w:t>
            </w:r>
            <w:r w:rsidDel="00000000" w:rsidR="00000000" w:rsidRPr="00000000">
              <w:rPr>
                <w:rFonts w:ascii="Dubai" w:cs="Dubai" w:eastAsia="Dubai" w:hAnsi="Dubai"/>
                <w:b w:val="1"/>
                <w:sz w:val="22"/>
                <w:szCs w:val="2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line="276" w:lineRule="auto"/>
              <w:ind w:left="720" w:hanging="36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مقدمو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الرعاية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أفاد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مقدمو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الرعاية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بزيادة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وعيهم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وثقتهم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وصبرهم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تربية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أطفالهم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20" w:line="276" w:lineRule="auto"/>
              <w:ind w:left="720" w:hanging="36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أبدت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المثقفات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رضاهن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الشديد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عن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تدريب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المدربين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ُ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قدم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مشيدات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بالمواد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الشاملة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ومقاطع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الفيديو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الجذابة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ذات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التنظيم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الجيد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منصة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إدراك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keepNext w:val="1"/>
              <w:keepLines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20" w:line="276" w:lineRule="auto"/>
              <w:ind w:left="720" w:hanging="360"/>
              <w:jc w:val="both"/>
              <w:rPr>
                <w:rFonts w:ascii="Dubai" w:cs="Dubai" w:eastAsia="Dubai" w:hAnsi="Dubai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أفادت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المثقفات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باكتساب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مهارات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عملية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تنمية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الطفولة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المبكرة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والتوجيه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السلوكي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وإشراك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الأهالي</w:t>
            </w:r>
            <w:r w:rsidDel="00000000" w:rsidR="00000000" w:rsidRPr="00000000">
              <w:rPr>
                <w:rFonts w:ascii="Dubai" w:cs="Dubai" w:eastAsia="Dubai" w:hAnsi="Dubai"/>
                <w:sz w:val="22"/>
                <w:szCs w:val="2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0">
      <w:pPr>
        <w:numPr>
          <w:ilvl w:val="0"/>
          <w:numId w:val="2"/>
        </w:numPr>
        <w:bidi w:val="1"/>
        <w:spacing w:after="0" w:before="24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توص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تأثير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ش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ْ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ِ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كوا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شهدوا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زيادة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دلالة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إحصائية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تفاعلهم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أطفالهم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وأفاد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مقدمو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المجموعة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التجريبية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بزيادة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متوسطها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0.42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نقطة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مقياس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خمس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نقاط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تحسن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بنسبة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11%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مقارنة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بمجموعة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التحكم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فعال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خاص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الأنشطة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القراءة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والغناء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واللعب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  <w:r w:rsidDel="00000000" w:rsidR="00000000" w:rsidRPr="00000000">
        <w:rPr>
          <w:rFonts w:ascii="Dubai" w:cs="Dubai" w:eastAsia="Dubai" w:hAnsi="Dubai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Dubai" w:cs="Dubai" w:eastAsia="Dubai" w:hAnsi="Duba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أفاد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مقدمو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صعيد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شخصي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بشعورهم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بثقة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أكبر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وتفاعل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أفضل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تربية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أطفالهم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روا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مرونة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ومحتواه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والأنشطة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العملية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تتناسب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بسهولة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روتينهم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اليومي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أبرز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العديد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منهم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تحسن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الروابط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العاطفية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أطفالهم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روا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التشجيع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والدعم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الميسرين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والأقران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حد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سواء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spacing w:after="0" w:line="240" w:lineRule="auto"/>
        <w:ind w:left="720" w:hanging="360"/>
        <w:jc w:val="both"/>
        <w:rPr>
          <w:rFonts w:ascii="Dubai" w:cs="Dubai" w:eastAsia="Dubai" w:hAnsi="Dubai"/>
          <w:b w:val="1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استراتيجية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الاستقطاب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—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ركزت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إعلانات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فيسبوك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والإحالات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المجتمعية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.—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أثبتت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فعاليتها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مجموعة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واسعة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مقدمي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وتسجيلهم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bidi w:val="1"/>
        <w:spacing w:after="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وجدت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منصة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إدراك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مفيدة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جد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الدورة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التدريبية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الأساسية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وسهلة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الاستخدام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كما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أعرب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المعلمون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تقديرهم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لـسهولة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استخدام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المنصة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وثم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نوا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قيمتها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كأداة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مرجعية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لإعادة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استذكار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المحتوى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spacing w:after="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أعد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تدريب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المدربين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ِّ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َ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وجاهي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للمعلمين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بفعالية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لتقديم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أفادت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أنهن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اكتسبن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مهارات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عملية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الطفولة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المبكرة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والتوجيه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السلوكي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وإشراك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الأهالي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علاوة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فقد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رن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تنظيم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وهيكلته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المرنة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القابلة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للتكي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ف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bidi w:val="1"/>
        <w:spacing w:after="0" w:line="276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تنفيذ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المشروع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أفادت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بوجود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علاقات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إيجابية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وداعمة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الرئيسات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اللواتي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ساهمن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الثقة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بالنفس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والاستقلالية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وخلق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بيئة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تعاونية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قدمت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الرئيسات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تدريجي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التحديات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وعالجن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المشكلات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التقنية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وقدمن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التغذية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الراجعة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الوقت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المناسب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اتصال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متنوعة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حتى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خارج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أوقات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العمل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الرسمية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spacing w:after="0" w:line="276" w:lineRule="auto"/>
        <w:ind w:left="720" w:firstLine="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76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0" w:line="259" w:lineRule="auto"/>
        <w:ind w:left="1080" w:right="0" w:hanging="720"/>
        <w:jc w:val="left"/>
        <w:rPr>
          <w:rFonts w:ascii="Dubai" w:cs="Dubai" w:eastAsia="Dubai" w:hAnsi="Dubai"/>
          <w:color w:val="05806e"/>
        </w:rPr>
      </w:pPr>
      <w:r w:rsidDel="00000000" w:rsidR="00000000" w:rsidRPr="00000000">
        <w:rPr>
          <w:rFonts w:ascii="Dubai" w:cs="Dubai" w:eastAsia="Dubai" w:hAnsi="Dubai"/>
          <w:color w:val="05806e"/>
          <w:rtl w:val="1"/>
        </w:rPr>
        <w:t xml:space="preserve">التحديات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165.0" w:type="dxa"/>
        <w:jc w:val="left"/>
        <w:tblInd w:w="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4"/>
        <w:gridCol w:w="6731"/>
        <w:tblGridChange w:id="0">
          <w:tblGrid>
            <w:gridCol w:w="2434"/>
            <w:gridCol w:w="6731"/>
          </w:tblGrid>
        </w:tblGridChange>
      </w:tblGrid>
      <w:tr>
        <w:trPr>
          <w:cantSplit w:val="0"/>
          <w:trHeight w:val="1109.6264648437502" w:hRule="atLeast"/>
          <w:tblHeader w:val="0"/>
        </w:trPr>
        <w:tc>
          <w:tcPr>
            <w:shd w:fill="ed288e" w:val="clear"/>
          </w:tcPr>
          <w:p w:rsidR="00000000" w:rsidDel="00000000" w:rsidP="00000000" w:rsidRDefault="00000000" w:rsidRPr="00000000" w14:paraId="00000038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تحديات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الاستقطاب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45818e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الرغم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إعلانات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فيسبوك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وصلت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بفعالية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العديد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الأمهات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إلا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المخاوف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بخصوصية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وعدم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الثقة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منصات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التواصل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حد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رغبة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بعض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مقدمي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الرعاية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التسجيل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أدى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تفاوت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الوصول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وتقليل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تنوع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عملية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استقطاب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المسج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لين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.</w:t>
            </w:r>
          </w:p>
        </w:tc>
      </w:tr>
      <w:tr>
        <w:trPr>
          <w:cantSplit w:val="0"/>
          <w:trHeight w:val="1373.701171875" w:hRule="atLeast"/>
          <w:tblHeader w:val="0"/>
        </w:trPr>
        <w:tc>
          <w:tcPr>
            <w:shd w:fill="ed288e" w:val="clear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jc w:val="both"/>
              <w:rPr>
                <w:rFonts w:ascii="Dubai" w:cs="Dubai" w:eastAsia="Dubai" w:hAnsi="Duba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معدلات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التسرب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المرتفعة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after="240" w:before="240" w:line="240" w:lineRule="auto"/>
              <w:jc w:val="both"/>
              <w:rPr>
                <w:rFonts w:ascii="Dubai" w:cs="Dubai" w:eastAsia="Dubai" w:hAnsi="Dubai"/>
                <w:color w:val="45818e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انسحب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كبير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المشاركين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بعد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إتمام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وحدة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واحدة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الأقل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(34%)،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قاموا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بالتسجيل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دون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يبدؤوا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فعلي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(52%)؛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وكان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السبب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الرئيسي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للانسحاب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هو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ضيق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الوقت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قلة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ومع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ذلك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تبقى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النسب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ضمن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المعدلات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عادة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ً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الدورات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.</w:t>
            </w:r>
          </w:p>
        </w:tc>
      </w:tr>
      <w:tr>
        <w:trPr>
          <w:cantSplit w:val="0"/>
          <w:trHeight w:val="908.7011718750002" w:hRule="atLeast"/>
          <w:tblHeader w:val="0"/>
        </w:trPr>
        <w:tc>
          <w:tcPr>
            <w:shd w:fill="ed288e" w:val="clear"/>
          </w:tcPr>
          <w:p w:rsidR="00000000" w:rsidDel="00000000" w:rsidP="00000000" w:rsidRDefault="00000000" w:rsidRPr="00000000" w14:paraId="0000003D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 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ضعف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الثقافة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 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الرقمية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 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ومحدودية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الوصول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التقني</w:t>
            </w:r>
          </w:p>
          <w:p w:rsidR="00000000" w:rsidDel="00000000" w:rsidP="00000000" w:rsidRDefault="00000000" w:rsidRPr="00000000" w14:paraId="0000003E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45818e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عانت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عدد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المثقفات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ومقدمي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الرعاية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 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الصعوبة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استخدام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الأدوات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الرقمية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حد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ّ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قدرتهم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التفاعل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الكامل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والوصول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محتواه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وهذا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يسلط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الضوء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الحاجة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أنظمة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رقمي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أقوى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وتبسيط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استخدام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ed288e" w:val="clear"/>
          </w:tcPr>
          <w:p w:rsidR="00000000" w:rsidDel="00000000" w:rsidP="00000000" w:rsidRDefault="00000000" w:rsidRPr="00000000" w14:paraId="00000040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استدامة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الأثر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المدى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الطويل</w:t>
            </w:r>
          </w:p>
          <w:p w:rsidR="00000000" w:rsidDel="00000000" w:rsidP="00000000" w:rsidRDefault="00000000" w:rsidRPr="00000000" w14:paraId="00000042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45818e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الرغم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مجموعات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الدعم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rtl w:val="1"/>
              </w:rPr>
              <w:t xml:space="preserve">نظام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rtl w:val="1"/>
              </w:rPr>
              <w:t xml:space="preserve">الرد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rtl w:val="1"/>
              </w:rPr>
              <w:t xml:space="preserve">الآلي</w:t>
            </w:r>
            <w:r w:rsidDel="00000000" w:rsidR="00000000" w:rsidRPr="00000000">
              <w:rPr>
                <w:color w:val="45818e"/>
                <w:rtl w:val="0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قد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دعم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أساسي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ًّ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خصوص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للأمهات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الجدد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فقد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طالب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المشاركون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لعام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2023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بمتابعة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مستمرة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خلال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التذكيرات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ومجموعات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النقاش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والمواد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؛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لضمان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استدامة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الفائدة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وتعزيز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الأثر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المدى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الطويل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45818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288e" w:val="clear"/>
          </w:tcPr>
          <w:p w:rsidR="00000000" w:rsidDel="00000000" w:rsidP="00000000" w:rsidRDefault="00000000" w:rsidRPr="00000000" w14:paraId="00000045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مخاوف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تتعلق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بقابلية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التوس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b w:val="1"/>
                <w:color w:val="ffffff"/>
                <w:sz w:val="22"/>
                <w:szCs w:val="22"/>
                <w:rtl w:val="1"/>
              </w:rPr>
              <w:t xml:space="preserve">ع</w:t>
            </w:r>
          </w:p>
          <w:p w:rsidR="00000000" w:rsidDel="00000000" w:rsidP="00000000" w:rsidRDefault="00000000" w:rsidRPr="00000000" w14:paraId="00000046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45818e"/>
                <w:sz w:val="22"/>
                <w:szCs w:val="22"/>
              </w:rPr>
            </w:pP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تزايد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حجم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مجموعات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الدعم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أصبح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الصعب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المثقفات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إدارة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النقاشات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وتقديم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الدعم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الوقت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المناسب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وقد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سل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ّ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ط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ذلك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الضوء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الحاجة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تحسين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الخصائص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التقنية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وضبط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حجم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المجموعات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لتكون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أكثر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قابلية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للإدارة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وتعزيز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الرقمية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لدى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المثقفات</w:t>
            </w:r>
            <w:r w:rsidDel="00000000" w:rsidR="00000000" w:rsidRPr="00000000">
              <w:rPr>
                <w:rFonts w:ascii="Dubai" w:cs="Dubai" w:eastAsia="Dubai" w:hAnsi="Dubai"/>
                <w:color w:val="45818e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spacing w:line="276" w:lineRule="auto"/>
              <w:jc w:val="both"/>
              <w:rPr>
                <w:rFonts w:ascii="Dubai" w:cs="Dubai" w:eastAsia="Dubai" w:hAnsi="Dubai"/>
                <w:color w:val="45818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40" w:lineRule="auto"/>
        <w:ind w:left="1080" w:firstLine="0"/>
        <w:rPr>
          <w:rFonts w:ascii="Dubai" w:cs="Dubai" w:eastAsia="Dubai" w:hAnsi="Dubai"/>
          <w:color w:val="05806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40" w:lineRule="auto"/>
        <w:ind w:left="1080" w:hanging="720"/>
        <w:rPr>
          <w:rFonts w:ascii="Dubai" w:cs="Dubai" w:eastAsia="Dubai" w:hAnsi="Dubai"/>
          <w:color w:val="05806e"/>
        </w:rPr>
      </w:pPr>
      <w:r w:rsidDel="00000000" w:rsidR="00000000" w:rsidRPr="00000000">
        <w:rPr>
          <w:rFonts w:ascii="Dubai" w:cs="Dubai" w:eastAsia="Dubai" w:hAnsi="Dubai"/>
          <w:color w:val="05806e"/>
          <w:rtl w:val="1"/>
        </w:rPr>
        <w:t xml:space="preserve">الاستنتاجات</w:t>
      </w:r>
    </w:p>
    <w:p w:rsidR="00000000" w:rsidDel="00000000" w:rsidP="00000000" w:rsidRDefault="00000000" w:rsidRPr="00000000" w14:paraId="0000004B">
      <w:pPr>
        <w:bidi w:val="1"/>
        <w:spacing w:after="0" w:before="240" w:line="240" w:lineRule="auto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ظهر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تقييم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2024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سنوات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طفلي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سيما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وزارة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الأوقاف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والمقدسات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والشؤون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الإسلامية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المدعوم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)،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أحدث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تأثير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إيجابي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سلوكيات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الوالدين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الداعمة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لتنمية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الطفولة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المبكرة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ظهر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أثر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ملموس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الناحيتين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الإحصائية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والتجريبية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تفاعل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الوالدين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وكفاءتهم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الذاتية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فإن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تحقيق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التوس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نطاق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سيتطلب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استثمارات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الثقافة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الرقمية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وتطوير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أساليب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استقطاب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محلية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وتحسين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المنصة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التقنية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1"/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40" w:lineRule="auto"/>
        <w:ind w:left="1080" w:hanging="720"/>
        <w:rPr>
          <w:rFonts w:ascii="Dubai" w:cs="Dubai" w:eastAsia="Dubai" w:hAnsi="Dubai"/>
          <w:color w:val="05806e"/>
        </w:rPr>
      </w:pPr>
      <w:r w:rsidDel="00000000" w:rsidR="00000000" w:rsidRPr="00000000">
        <w:rPr>
          <w:rFonts w:ascii="Dubai" w:cs="Dubai" w:eastAsia="Dubai" w:hAnsi="Dubai"/>
          <w:color w:val="05806e"/>
          <w:rtl w:val="1"/>
        </w:rPr>
        <w:t xml:space="preserve">التوصيات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bidi w:val="1"/>
        <w:spacing w:after="0" w:before="24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تعزيز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استدامة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التغييرات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السلوكية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متابعة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للأهل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انتهاء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ويمكن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يشمل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ورش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عمل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تنشيطية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وتذكيرات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ممتدة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واتساب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ومجموعات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نقاش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ومواد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تعليمية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إضافية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سيساهم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معالجة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التحدي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المتعلق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بدوام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الأثر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الطويل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bidi w:val="1"/>
        <w:spacing w:after="0" w:before="24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توسيع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جهود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الاستقطاب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استهداف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الفئات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الممثلة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كاف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ٍ،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الآباء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ومقد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الرعاية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المناطق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الريفية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وذلك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عبر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المدارس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والمراكز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الصحية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والشخصيات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المجتمعية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الموثوقة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spacing w:after="0" w:before="24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تطوير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المنصة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التقنية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المخصصة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للمثقفات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وتحسينها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إعادة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تصميمها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لتكون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سهلة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الاستخدام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وإجراء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اختبارات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لمدى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سهولة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الاستخدام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ودمج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دروس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تعليمية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مصو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رة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ستساعد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التحسينات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معالجة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تحديات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ضعف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الثقافة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الرقمية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ودعم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قابلية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للتوس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ع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bidi w:val="1"/>
        <w:spacing w:after="0" w:before="24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توسيع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آليات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التغذية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الراجعة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لتعزيز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المستفيدين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وضمان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التحسين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المستمر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تصميم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وتنفيذه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bidi w:val="1"/>
        <w:spacing w:after="0" w:before="240" w:line="240" w:lineRule="auto"/>
        <w:ind w:left="720" w:hanging="360"/>
        <w:jc w:val="both"/>
        <w:rPr>
          <w:rFonts w:ascii="Dubai" w:cs="Dubai" w:eastAsia="Dubai" w:hAnsi="Dubai"/>
          <w:sz w:val="22"/>
          <w:szCs w:val="22"/>
        </w:rPr>
      </w:pPr>
      <w:bookmarkStart w:colFirst="0" w:colLast="0" w:name="_heading=h.ew5ubsb1d9m1" w:id="6"/>
      <w:bookmarkEnd w:id="6"/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دعم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مهارات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الثقافة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b w:val="1"/>
          <w:sz w:val="22"/>
          <w:szCs w:val="22"/>
          <w:rtl w:val="1"/>
        </w:rPr>
        <w:t xml:space="preserve">الرقمية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أكثر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فعالية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تدريبات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تمهيدية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بدء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وإرشاد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المثقفات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الرئيسات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وجلسات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تنشيطية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حول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تيسير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البرنامج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واستخدام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التكنولوجيا</w:t>
      </w:r>
      <w:r w:rsidDel="00000000" w:rsidR="00000000" w:rsidRPr="00000000">
        <w:rPr>
          <w:rFonts w:ascii="Dubai" w:cs="Dubai" w:eastAsia="Dubai" w:hAnsi="Duba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99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Rawan Awwad" w:id="0" w:date="2025-08-14T13:12:00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 in this page is 14, and following pages is 11. is there a reason? @sbadran@qrf.org</w:t>
      </w:r>
    </w:p>
  </w:comment>
  <w:comment w:author="Sara Badran" w:id="1" w:date="2025-08-17T10:49:23Z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its because its the front page, i amended it to be 11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5C" w15:done="0"/>
  <w15:commentEx w15:paraId="0000005D" w15:paraIdParent="0000005C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oppins Black">
    <w:embedBold w:fontKey="{00000000-0000-0000-0000-000000000000}" r:id="rId1" w:subsetted="0"/>
    <w:embedBoldItalic w:fontKey="{00000000-0000-0000-0000-000000000000}" r:id="rId2" w:subsetted="0"/>
  </w:font>
  <w:font w:name="Duba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2009775</wp:posOffset>
          </wp:positionH>
          <wp:positionV relativeFrom="paragraph">
            <wp:posOffset>147638</wp:posOffset>
          </wp:positionV>
          <wp:extent cx="1204913" cy="279187"/>
          <wp:effectExtent b="0" l="0" r="0" t="0"/>
          <wp:wrapNone/>
          <wp:docPr descr="A blue and green logo&#10;&#10;Description automatically generated" id="36" name="image4.png"/>
          <a:graphic>
            <a:graphicData uri="http://schemas.openxmlformats.org/drawingml/2006/picture">
              <pic:pic>
                <pic:nvPicPr>
                  <pic:cNvPr descr="A blue and green logo&#10;&#10;Description automatically generated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2791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114300</wp:posOffset>
          </wp:positionV>
          <wp:extent cx="1358473" cy="283015"/>
          <wp:effectExtent b="0" l="0" r="0" t="0"/>
          <wp:wrapSquare wrapText="bothSides" distB="114300" distT="114300" distL="114300" distR="114300"/>
          <wp:docPr id="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8473" cy="2830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4505325</wp:posOffset>
          </wp:positionH>
          <wp:positionV relativeFrom="paragraph">
            <wp:posOffset>119063</wp:posOffset>
          </wp:positionV>
          <wp:extent cx="1033463" cy="341492"/>
          <wp:effectExtent b="0" l="0" r="0" t="0"/>
          <wp:wrapNone/>
          <wp:docPr id="42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341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2447925</wp:posOffset>
          </wp:positionH>
          <wp:positionV relativeFrom="paragraph">
            <wp:posOffset>191448</wp:posOffset>
          </wp:positionV>
          <wp:extent cx="976313" cy="222938"/>
          <wp:effectExtent b="0" l="0" r="0" t="0"/>
          <wp:wrapNone/>
          <wp:docPr descr="A blue and green logo&#10;&#10;Description automatically generated" id="39" name="image3.png"/>
          <a:graphic>
            <a:graphicData uri="http://schemas.openxmlformats.org/drawingml/2006/picture">
              <pic:pic>
                <pic:nvPicPr>
                  <pic:cNvPr descr="A blue and green logo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22293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3">
      <w:pPr>
        <w:bidi w:val="1"/>
        <w:spacing w:after="0"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البنك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الدولي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ومعهد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اليونسكو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للإحصاء</w:t>
      </w:r>
      <w:r w:rsidDel="00000000" w:rsidR="00000000" w:rsidRPr="00000000">
        <w:rPr>
          <w:sz w:val="18"/>
          <w:szCs w:val="18"/>
          <w:rtl w:val="1"/>
        </w:rPr>
        <w:t xml:space="preserve">. (2022). </w:t>
      </w:r>
      <w:r w:rsidDel="00000000" w:rsidR="00000000" w:rsidRPr="00000000">
        <w:rPr>
          <w:sz w:val="18"/>
          <w:szCs w:val="18"/>
          <w:rtl w:val="1"/>
        </w:rPr>
        <w:t xml:space="preserve">موجز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فقر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التعلم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في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الأردن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يونيو</w:t>
      </w:r>
      <w:r w:rsidDel="00000000" w:rsidR="00000000" w:rsidRPr="00000000">
        <w:rPr>
          <w:sz w:val="18"/>
          <w:szCs w:val="18"/>
          <w:rtl w:val="1"/>
        </w:rPr>
        <w:t xml:space="preserve"> 2022). </w:t>
      </w:r>
      <w:r w:rsidDel="00000000" w:rsidR="00000000" w:rsidRPr="00000000">
        <w:rPr>
          <w:sz w:val="18"/>
          <w:szCs w:val="18"/>
          <w:rtl w:val="1"/>
        </w:rPr>
        <w:t xml:space="preserve">البنك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الدولي</w:t>
      </w:r>
      <w:r w:rsidDel="00000000" w:rsidR="00000000" w:rsidRPr="00000000">
        <w:rPr>
          <w:sz w:val="18"/>
          <w:szCs w:val="18"/>
          <w:rtl w:val="1"/>
        </w:rPr>
        <w:t xml:space="preserve">.</w:t>
      </w:r>
      <w:hyperlink r:id="rId1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1"/>
        </w:rPr>
        <w:t xml:space="preserve">نوعي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وجد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تحليل</w:t>
      </w:r>
      <w:r w:rsidDel="00000000" w:rsidR="00000000" w:rsidRPr="00000000">
        <w:rPr>
          <w:sz w:val="20"/>
          <w:szCs w:val="20"/>
          <w:rtl w:val="1"/>
        </w:rPr>
        <w:t xml:space="preserve"> "</w:t>
      </w:r>
      <w:r w:rsidDel="00000000" w:rsidR="00000000" w:rsidRPr="00000000">
        <w:rPr>
          <w:sz w:val="20"/>
          <w:szCs w:val="20"/>
          <w:rtl w:val="1"/>
        </w:rPr>
        <w:t xml:space="preserve">النية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المعالجة</w:t>
      </w:r>
      <w:r w:rsidDel="00000000" w:rsidR="00000000" w:rsidRPr="00000000">
        <w:rPr>
          <w:sz w:val="20"/>
          <w:szCs w:val="20"/>
          <w:rtl w:val="0"/>
        </w:rPr>
        <w:t xml:space="preserve">" (</w:t>
      </w:r>
      <w:r w:rsidDel="00000000" w:rsidR="00000000" w:rsidRPr="00000000">
        <w:rPr>
          <w:sz w:val="20"/>
          <w:szCs w:val="20"/>
          <w:rtl w:val="0"/>
        </w:rPr>
        <w:t xml:space="preserve">ITT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أن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الأمهات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اللواتي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إدراجهن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أبلغن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زيادة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قدرها</w:t>
      </w:r>
      <w:r w:rsidDel="00000000" w:rsidR="00000000" w:rsidRPr="00000000">
        <w:rPr>
          <w:sz w:val="20"/>
          <w:szCs w:val="20"/>
          <w:rtl w:val="1"/>
        </w:rPr>
        <w:t xml:space="preserve"> 0.35 </w:t>
      </w:r>
      <w:r w:rsidDel="00000000" w:rsidR="00000000" w:rsidRPr="00000000">
        <w:rPr>
          <w:sz w:val="20"/>
          <w:szCs w:val="20"/>
          <w:rtl w:val="1"/>
        </w:rPr>
        <w:t xml:space="preserve">نقطة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المشاركة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 &lt; 0.001)، </w:t>
      </w:r>
      <w:r w:rsidDel="00000000" w:rsidR="00000000" w:rsidRPr="00000000">
        <w:rPr>
          <w:sz w:val="20"/>
          <w:szCs w:val="20"/>
          <w:rtl w:val="1"/>
        </w:rPr>
        <w:t xml:space="preserve">بينما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شهدت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أولئك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اللواتي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شاركن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بنشاط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تحليل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المعالجة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المعالج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sz w:val="20"/>
          <w:szCs w:val="20"/>
          <w:rtl w:val="1"/>
        </w:rPr>
        <w:t xml:space="preserve">زيادة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أكبر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تتراوح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من</w:t>
      </w:r>
      <w:r w:rsidDel="00000000" w:rsidR="00000000" w:rsidRPr="00000000">
        <w:rPr>
          <w:sz w:val="20"/>
          <w:szCs w:val="20"/>
          <w:rtl w:val="1"/>
        </w:rPr>
        <w:t xml:space="preserve"> 0.42 </w:t>
      </w:r>
      <w:r w:rsidDel="00000000" w:rsidR="00000000" w:rsidRPr="00000000">
        <w:rPr>
          <w:sz w:val="20"/>
          <w:szCs w:val="20"/>
          <w:rtl w:val="1"/>
        </w:rPr>
        <w:t xml:space="preserve">إلى</w:t>
      </w:r>
      <w:r w:rsidDel="00000000" w:rsidR="00000000" w:rsidRPr="00000000">
        <w:rPr>
          <w:sz w:val="20"/>
          <w:szCs w:val="20"/>
          <w:rtl w:val="1"/>
        </w:rPr>
        <w:t xml:space="preserve"> 0.50 </w:t>
      </w:r>
      <w:r w:rsidDel="00000000" w:rsidR="00000000" w:rsidRPr="00000000">
        <w:rPr>
          <w:sz w:val="20"/>
          <w:szCs w:val="20"/>
          <w:rtl w:val="1"/>
        </w:rPr>
        <w:t xml:space="preserve">نقطة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اعتماد</w:t>
      </w:r>
      <w:r w:rsidDel="00000000" w:rsidR="00000000" w:rsidRPr="00000000">
        <w:rPr>
          <w:sz w:val="20"/>
          <w:szCs w:val="20"/>
          <w:rtl w:val="1"/>
        </w:rPr>
        <w:t xml:space="preserve">ً</w:t>
      </w:r>
      <w:r w:rsidDel="00000000" w:rsidR="00000000" w:rsidRPr="00000000">
        <w:rPr>
          <w:sz w:val="20"/>
          <w:szCs w:val="20"/>
          <w:rtl w:val="1"/>
        </w:rPr>
        <w:t xml:space="preserve">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إكمالهن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لوحظت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أقوى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تأثيرات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في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القراءة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β</w:t>
      </w:r>
      <w:r w:rsidDel="00000000" w:rsidR="00000000" w:rsidRPr="00000000">
        <w:rPr>
          <w:sz w:val="20"/>
          <w:szCs w:val="20"/>
          <w:rtl w:val="0"/>
        </w:rPr>
        <w:t xml:space="preserve"> = 0.40, 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 &lt; 0.001)، </w:t>
      </w:r>
      <w:r w:rsidDel="00000000" w:rsidR="00000000" w:rsidRPr="00000000">
        <w:rPr>
          <w:sz w:val="20"/>
          <w:szCs w:val="20"/>
          <w:rtl w:val="1"/>
        </w:rPr>
        <w:t xml:space="preserve">والغناء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β</w:t>
      </w:r>
      <w:r w:rsidDel="00000000" w:rsidR="00000000" w:rsidRPr="00000000">
        <w:rPr>
          <w:sz w:val="20"/>
          <w:szCs w:val="20"/>
          <w:rtl w:val="0"/>
        </w:rPr>
        <w:t xml:space="preserve"> = 0.47, 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 &lt; 0.001)، </w:t>
      </w:r>
      <w:r w:rsidDel="00000000" w:rsidR="00000000" w:rsidRPr="00000000">
        <w:rPr>
          <w:sz w:val="20"/>
          <w:szCs w:val="20"/>
          <w:rtl w:val="1"/>
        </w:rPr>
        <w:t xml:space="preserve">واللعب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sz w:val="20"/>
          <w:szCs w:val="20"/>
          <w:rtl w:val="0"/>
        </w:rPr>
        <w:t xml:space="preserve">β</w:t>
      </w:r>
      <w:r w:rsidDel="00000000" w:rsidR="00000000" w:rsidRPr="00000000">
        <w:rPr>
          <w:sz w:val="20"/>
          <w:szCs w:val="20"/>
          <w:rtl w:val="0"/>
        </w:rPr>
        <w:t xml:space="preserve"> = 0.36, </w:t>
      </w: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 &lt; 0.001).</w:t>
      </w:r>
      <w:r w:rsidDel="00000000" w:rsidR="00000000" w:rsidRPr="00000000">
        <w:rPr>
          <w:sz w:val="20"/>
          <w:szCs w:val="20"/>
          <w:rtl w:val="1"/>
        </w:rPr>
        <w:t xml:space="preserve">المرجع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Glennerster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</w:t>
      </w:r>
      <w:r w:rsidDel="00000000" w:rsidR="00000000" w:rsidRPr="00000000">
        <w:rPr>
          <w:sz w:val="20"/>
          <w:szCs w:val="20"/>
          <w:rtl w:val="0"/>
        </w:rPr>
        <w:t xml:space="preserve">., &amp; </w:t>
      </w:r>
      <w:r w:rsidDel="00000000" w:rsidR="00000000" w:rsidRPr="00000000">
        <w:rPr>
          <w:sz w:val="20"/>
          <w:szCs w:val="20"/>
          <w:rtl w:val="0"/>
        </w:rPr>
        <w:t xml:space="preserve">Takavarasha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K</w:t>
      </w:r>
      <w:r w:rsidDel="00000000" w:rsidR="00000000" w:rsidRPr="00000000">
        <w:rPr>
          <w:sz w:val="20"/>
          <w:szCs w:val="20"/>
          <w:rtl w:val="0"/>
        </w:rPr>
        <w:t xml:space="preserve">. (2013). </w:t>
      </w:r>
      <w:r w:rsidDel="00000000" w:rsidR="00000000" w:rsidRPr="00000000">
        <w:rPr>
          <w:sz w:val="20"/>
          <w:szCs w:val="20"/>
          <w:rtl w:val="0"/>
        </w:rPr>
        <w:t xml:space="preserve">Running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Randomized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Evaluations</w:t>
      </w:r>
      <w:r w:rsidDel="00000000" w:rsidR="00000000" w:rsidRPr="00000000">
        <w:rPr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Practical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Guide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rtl w:val="0"/>
        </w:rPr>
        <w:t xml:space="preserve">Princeton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University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Press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widowControl w:val="0"/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color w:val="a5a5a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0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773A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73A1"/>
    <w:rPr>
      <w:rFonts w:ascii="Calibri" w:cs="Calibri" w:eastAsia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E773A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73A1"/>
    <w:rPr>
      <w:rFonts w:ascii="Calibri" w:cs="Calibri" w:eastAsia="Calibri" w:hAnsi="Calibri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F0B1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F0B19"/>
    <w:rPr>
      <w:rFonts w:ascii="Calibri" w:hAnsi="Calibri" w:cstheme="majorBidi" w:eastAsiaTheme="majorEastAsia"/>
      <w:color w:val="a5a5a5" w:themeColor="accent3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7E607D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FA6D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1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169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1696A"/>
    <w:rPr>
      <w:rFonts w:ascii="Calibri" w:cs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1696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1696A"/>
    <w:rPr>
      <w:rFonts w:ascii="Calibri" w:cs="Calibri" w:eastAsia="Calibri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1696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1696A"/>
    <w:rPr>
      <w:rFonts w:ascii="Segoe UI" w:cs="Segoe UI" w:eastAsia="Calibri" w:hAnsi="Segoe UI"/>
      <w:sz w:val="18"/>
      <w:szCs w:val="18"/>
    </w:rPr>
  </w:style>
  <w:style w:type="character" w:styleId="FootnoteReference">
    <w:name w:val="footnote reference"/>
    <w:aliases w:val="Odwołanie przypisu,Footnote symbol,Odwolanie przypisu,*UKCES Footnote Reference"/>
    <w:basedOn w:val="DefaultParagraphFont"/>
    <w:uiPriority w:val="99"/>
    <w:unhideWhenUsed w:val="1"/>
    <w:qFormat w:val="1"/>
    <w:rsid w:val="0002337B"/>
    <w:rPr>
      <w:vertAlign w:val="superscript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39B8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39B8"/>
    <w:rPr>
      <w:rFonts w:asciiTheme="majorHAnsi" w:cstheme="majorBidi" w:eastAsiaTheme="majorEastAsia" w:hAnsiTheme="majorHAnsi"/>
      <w:i w:val="1"/>
      <w:iCs w:val="1"/>
      <w:color w:val="2e74b5" w:themeColor="accent1" w:themeShade="0000BF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C9076B"/>
    <w:pPr>
      <w:spacing w:after="100" w:afterAutospacing="1" w:before="100" w:beforeAutospacing="1" w:line="240" w:lineRule="auto"/>
    </w:pPr>
    <w:rPr>
      <w:rFonts w:ascii="Aptos" w:cs="Aptos" w:hAnsi="Aptos" w:eastAsiaTheme="minorHAnsi"/>
      <w:lang w:eastAsia="en-GB" w:val="en-GB"/>
    </w:r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jpg"/><Relationship Id="rId13" Type="http://schemas.openxmlformats.org/officeDocument/2006/relationships/image" Target="media/image2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microsoft.com/office/2011/relationships/commentsExtended" Target="commentsExtended.xml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footer" Target="footer1.xml"/><Relationship Id="rId6" Type="http://schemas.openxmlformats.org/officeDocument/2006/relationships/numbering" Target="numbering.xml"/><Relationship Id="rId18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Black-bold.ttf"/><Relationship Id="rId2" Type="http://schemas.openxmlformats.org/officeDocument/2006/relationships/font" Target="fonts/PoppinsBlack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6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documents1.worldbank.org/curated/en/099125207202238514/pdf/IDU052d386470795a04627083760c02899ef124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3UbR/iU2s32vFz/8EDuk9Y8ACA==">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2023-05-10T14:00:00Z</dcterms:created>
  <dc:creator>Emiliee Rauchenberger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01bf0ef6-eae2-40e4-a756-1abb1002b1d1</vt:lpwstr>
  </property>
</Properties>
</file>